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E3" w:rsidRPr="002E6DE3" w:rsidRDefault="002E6DE3" w:rsidP="002E6DE3">
      <w:pPr>
        <w:pStyle w:val="Titel"/>
        <w:rPr>
          <w:rStyle w:val="Nadruk"/>
          <w:i w:val="0"/>
          <w:iCs w:val="0"/>
        </w:rPr>
      </w:pPr>
      <w:bookmarkStart w:id="0" w:name="_GoBack"/>
      <w:r w:rsidRPr="002E6DE3">
        <w:rPr>
          <w:rStyle w:val="Nadruk"/>
          <w:i w:val="0"/>
          <w:iCs w:val="0"/>
        </w:rPr>
        <w:t xml:space="preserve">Belgischer </w:t>
      </w:r>
      <w:proofErr w:type="spellStart"/>
      <w:r w:rsidRPr="002E6DE3">
        <w:rPr>
          <w:rStyle w:val="Nadruk"/>
          <w:i w:val="0"/>
          <w:iCs w:val="0"/>
        </w:rPr>
        <w:t>Fleischverzehr</w:t>
      </w:r>
      <w:proofErr w:type="spellEnd"/>
      <w:r w:rsidRPr="002E6DE3">
        <w:rPr>
          <w:rStyle w:val="Nadruk"/>
          <w:i w:val="0"/>
          <w:iCs w:val="0"/>
        </w:rPr>
        <w:t xml:space="preserve"> </w:t>
      </w:r>
      <w:bookmarkEnd w:id="0"/>
      <w:proofErr w:type="spellStart"/>
      <w:r w:rsidRPr="002E6DE3">
        <w:rPr>
          <w:rStyle w:val="Nadruk"/>
          <w:i w:val="0"/>
          <w:iCs w:val="0"/>
        </w:rPr>
        <w:t>unter</w:t>
      </w:r>
      <w:proofErr w:type="spellEnd"/>
      <w:r w:rsidRPr="002E6DE3">
        <w:rPr>
          <w:rStyle w:val="Nadruk"/>
          <w:i w:val="0"/>
          <w:iCs w:val="0"/>
        </w:rPr>
        <w:t xml:space="preserve"> der </w:t>
      </w:r>
      <w:proofErr w:type="spellStart"/>
      <w:r w:rsidRPr="002E6DE3">
        <w:rPr>
          <w:rStyle w:val="Nadruk"/>
          <w:i w:val="0"/>
          <w:iCs w:val="0"/>
        </w:rPr>
        <w:t>Lupe</w:t>
      </w:r>
      <w:proofErr w:type="spellEnd"/>
    </w:p>
    <w:p w:rsidR="002E6DE3" w:rsidRPr="002E6DE3" w:rsidRDefault="002E6DE3" w:rsidP="002E6DE3">
      <w:pPr>
        <w:pStyle w:val="Normaalweb"/>
        <w:rPr>
          <w:rFonts w:asciiTheme="minorHAnsi" w:hAnsiTheme="minorHAnsi"/>
          <w:noProof/>
          <w:sz w:val="22"/>
          <w:szCs w:val="22"/>
        </w:rPr>
      </w:pPr>
      <w:r w:rsidRPr="002E6DE3">
        <w:rPr>
          <w:rStyle w:val="Nadruk"/>
          <w:rFonts w:asciiTheme="minorHAnsi" w:hAnsiTheme="minorHAnsi"/>
          <w:noProof/>
          <w:sz w:val="22"/>
          <w:szCs w:val="22"/>
        </w:rPr>
        <w:t>Der Belgier ist ein Fleischgenießer, reduziert aber die Portionen. So lautet das Fazit einer GfK-Studie, die Flanderns Agrar-Marketing-Büro in Brüssel in Auftrag gegeben hat. An der Studie haben 5.000 belgische Familien teilgenommen, die permanent ihre privaten Lebensmitteleinkäufe registrieren. Nicht berücksichtigt wird in der Studie der Außer-Haus-Verzehr.</w:t>
      </w:r>
    </w:p>
    <w:p w:rsidR="002E6DE3" w:rsidRPr="002E6DE3" w:rsidRDefault="002E6DE3" w:rsidP="002E6DE3">
      <w:pPr>
        <w:pStyle w:val="Normaalweb"/>
        <w:rPr>
          <w:rFonts w:asciiTheme="minorHAnsi" w:hAnsiTheme="minorHAnsi"/>
          <w:noProof/>
          <w:sz w:val="22"/>
          <w:szCs w:val="22"/>
        </w:rPr>
      </w:pPr>
      <w:r w:rsidRPr="002E6DE3">
        <w:rPr>
          <w:rFonts w:asciiTheme="minorHAnsi" w:hAnsiTheme="minorHAnsi"/>
          <w:noProof/>
          <w:sz w:val="22"/>
          <w:szCs w:val="22"/>
        </w:rPr>
        <w:t>Im zurückliegenden Jahr hat der Belgier im Schnitt 20 kg Fleisch und 10 kg Geflügel und Wild gekauft und privat verzehrt. Damit reduzierten sich die Mengen im Vergleich zum Vorjahr um vier, bzw. ein Prozent. Rund 99 Prozent der belgischen Privathaushalte haben 2015 insgesamt 54 mal auf Fleisch, Geflügel und Wild zurückgegriffen.</w:t>
      </w:r>
    </w:p>
    <w:p w:rsidR="002E6DE3" w:rsidRPr="002E6DE3" w:rsidRDefault="002E6DE3" w:rsidP="002E6DE3">
      <w:pPr>
        <w:pStyle w:val="Normaalweb"/>
        <w:rPr>
          <w:rFonts w:asciiTheme="minorHAnsi" w:hAnsiTheme="minorHAnsi"/>
          <w:noProof/>
          <w:sz w:val="22"/>
          <w:szCs w:val="22"/>
        </w:rPr>
      </w:pPr>
      <w:r w:rsidRPr="002E6DE3">
        <w:rPr>
          <w:rFonts w:asciiTheme="minorHAnsi" w:hAnsiTheme="minorHAnsi"/>
          <w:noProof/>
          <w:sz w:val="22"/>
          <w:szCs w:val="22"/>
        </w:rPr>
        <w:t>Die privaten Fleischeinkäufe befinden sich seit Jahren auf dem Abwärtstrend. So ist der pro-Kopf-Fleischverzehr von 27,1 kg im Jahre 2002 auf knapp 20 kg im Jahre 2015 zurückgefallen. Als Hauptursache hierfür wurden die rückläufige Einkaufsfrequenz und die kleineren Portionen der einzelnen Einkäufe ausgemacht.</w:t>
      </w:r>
    </w:p>
    <w:p w:rsidR="002E6DE3" w:rsidRPr="002E6DE3" w:rsidRDefault="002E6DE3" w:rsidP="002E6DE3">
      <w:pPr>
        <w:pStyle w:val="Normaalweb"/>
        <w:rPr>
          <w:rFonts w:asciiTheme="minorHAnsi" w:hAnsiTheme="minorHAnsi"/>
          <w:noProof/>
          <w:sz w:val="22"/>
          <w:szCs w:val="22"/>
        </w:rPr>
      </w:pPr>
      <w:r w:rsidRPr="002E6DE3">
        <w:rPr>
          <w:rFonts w:asciiTheme="minorHAnsi" w:hAnsiTheme="minorHAnsi"/>
          <w:noProof/>
          <w:sz w:val="22"/>
          <w:szCs w:val="22"/>
        </w:rPr>
        <w:t>Im Frischfleischsegment positionieren sich die Fleischzubereitungen mit einem pro-Kopf-Verzehr von 6,9 kg weiterhin auf dem ersten Platz, gefolgt von Schweinefleisch mit 5,9 kg, sowie Rindfleisch mit 4,7 kg. Der Kalbfleischverzehr ist um 70 g auf 710 g gesunken. Lammfleisch bringt es auf 600 g und Pferdefleisch auf 120 g pro Person. Das Interesse der Verbraucher an Innereien ist um 50 Prozent auf nur noch 150 g zurückgefallen.</w:t>
      </w:r>
    </w:p>
    <w:p w:rsidR="002E6DE3" w:rsidRPr="002E6DE3" w:rsidRDefault="002E6DE3" w:rsidP="002E6DE3">
      <w:pPr>
        <w:pStyle w:val="Normaalweb"/>
        <w:rPr>
          <w:rFonts w:asciiTheme="minorHAnsi" w:hAnsiTheme="minorHAnsi"/>
          <w:noProof/>
          <w:sz w:val="22"/>
          <w:szCs w:val="22"/>
        </w:rPr>
      </w:pPr>
      <w:r w:rsidRPr="002E6DE3">
        <w:rPr>
          <w:rFonts w:asciiTheme="minorHAnsi" w:hAnsiTheme="minorHAnsi"/>
          <w:noProof/>
          <w:sz w:val="22"/>
          <w:szCs w:val="22"/>
        </w:rPr>
        <w:t>Für Fisch, Weich- und Schalentiere liegt der pro-Kopf-Verzehr bei sechs kg (minus drei Prozent). Vegetarische Fleischersatzprodukte hingegen haben um 18 Prozent auf 280 g per capita zugelegt.</w:t>
      </w:r>
    </w:p>
    <w:p w:rsidR="002E6DE3" w:rsidRPr="002E6DE3" w:rsidRDefault="002E6DE3" w:rsidP="002E6DE3">
      <w:pPr>
        <w:pStyle w:val="Normaalweb"/>
        <w:ind w:firstLine="708"/>
        <w:rPr>
          <w:rFonts w:asciiTheme="minorHAnsi" w:hAnsiTheme="minorHAnsi"/>
          <w:noProof/>
          <w:sz w:val="28"/>
          <w:szCs w:val="22"/>
        </w:rPr>
      </w:pPr>
      <w:r w:rsidRPr="002E6DE3">
        <w:rPr>
          <w:rFonts w:asciiTheme="minorHAnsi" w:hAnsiTheme="minorHAnsi"/>
          <w:b/>
          <w:bCs/>
          <w:noProof/>
          <w:sz w:val="28"/>
          <w:szCs w:val="22"/>
        </w:rPr>
        <w:t>Frischfleischeinkäufe der belgischen Privathaushalte nach Sorten</w:t>
      </w:r>
    </w:p>
    <w:p w:rsidR="002E6DE3" w:rsidRPr="002E6DE3" w:rsidRDefault="002E6DE3" w:rsidP="002E6DE3">
      <w:pPr>
        <w:pStyle w:val="Normaalweb"/>
        <w:rPr>
          <w:rFonts w:asciiTheme="minorHAnsi" w:hAnsiTheme="minorHAnsi"/>
          <w:noProof/>
          <w:sz w:val="22"/>
          <w:szCs w:val="22"/>
        </w:rPr>
      </w:pPr>
      <w:r w:rsidRPr="002E6DE3">
        <w:rPr>
          <w:rFonts w:asciiTheme="minorHAnsi" w:hAnsiTheme="minorHAnsi"/>
          <w:noProof/>
          <w:sz w:val="22"/>
          <w:szCs w:val="22"/>
        </w:rPr>
        <w:drawing>
          <wp:inline distT="0" distB="0" distL="0" distR="0" wp14:anchorId="2FD4702A" wp14:editId="03DFCD75">
            <wp:extent cx="6343650" cy="355219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E6DE3" w:rsidRDefault="002E6DE3" w:rsidP="002E6DE3">
      <w:pPr>
        <w:pStyle w:val="Normaalweb"/>
        <w:rPr>
          <w:rFonts w:asciiTheme="minorHAnsi" w:hAnsiTheme="minorHAnsi"/>
          <w:noProof/>
          <w:sz w:val="22"/>
          <w:szCs w:val="22"/>
        </w:rPr>
      </w:pPr>
      <w:r w:rsidRPr="002E6DE3">
        <w:rPr>
          <w:rFonts w:asciiTheme="minorHAnsi" w:hAnsiTheme="minorHAnsi"/>
          <w:noProof/>
          <w:sz w:val="22"/>
          <w:szCs w:val="22"/>
        </w:rPr>
        <w:lastRenderedPageBreak/>
        <w:t>Der traditionelle Lebensmitteleinzelhandel (DIS 1) ist mit einem Marktanteil von nahezu 41 Prozent die bevorzugte Einkaufsstätte der Belgier für Fleisch. Die Fleischerfachgeschäfte konnten 2015 ihre Position auf 24 Prozent ausbauen und damit verloren gegangenes Terrain des Vorjahres zurückerobern. Die Nachbarschaftssupermärkte verfügen über einen Marktanteil von 17 Prozent. Über die Harddiscounter-Schiene wird 11,4 Prozent der Frischfleischeinkäufe abgewickelt.</w:t>
      </w:r>
    </w:p>
    <w:p w:rsidR="002E6DE3" w:rsidRPr="002E6DE3" w:rsidRDefault="002E6DE3" w:rsidP="002E6DE3">
      <w:pPr>
        <w:pStyle w:val="Normaalweb"/>
        <w:jc w:val="center"/>
        <w:rPr>
          <w:rFonts w:asciiTheme="minorHAnsi" w:hAnsiTheme="minorHAnsi"/>
          <w:noProof/>
          <w:sz w:val="28"/>
          <w:szCs w:val="22"/>
        </w:rPr>
      </w:pPr>
      <w:r w:rsidRPr="002E6DE3">
        <w:rPr>
          <w:rFonts w:asciiTheme="minorHAnsi" w:hAnsiTheme="minorHAnsi"/>
          <w:b/>
          <w:bCs/>
          <w:noProof/>
          <w:sz w:val="28"/>
          <w:szCs w:val="22"/>
        </w:rPr>
        <w:t>Frischfleischeinkäufe der belgischen Privathaushalte nach Einkaufsstätten</w:t>
      </w:r>
      <w:r w:rsidRPr="002E6DE3">
        <w:rPr>
          <w:rFonts w:asciiTheme="minorHAnsi" w:hAnsiTheme="minorHAnsi"/>
          <w:noProof/>
          <w:sz w:val="22"/>
          <w:szCs w:val="22"/>
        </w:rPr>
        <w:drawing>
          <wp:inline distT="0" distB="0" distL="0" distR="0" wp14:anchorId="02DC39E4" wp14:editId="55A59C25">
            <wp:extent cx="5760720" cy="2930388"/>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E6DE3" w:rsidRPr="002E6DE3" w:rsidRDefault="002E6DE3" w:rsidP="002E6DE3">
      <w:pPr>
        <w:pStyle w:val="Normaalweb"/>
        <w:rPr>
          <w:rFonts w:asciiTheme="minorHAnsi" w:hAnsiTheme="minorHAnsi"/>
          <w:noProof/>
          <w:sz w:val="22"/>
          <w:szCs w:val="22"/>
        </w:rPr>
      </w:pPr>
      <w:r>
        <w:rPr>
          <w:rFonts w:asciiTheme="minorHAnsi" w:hAnsiTheme="minorHAnsi"/>
          <w:noProof/>
          <w:sz w:val="22"/>
          <w:szCs w:val="22"/>
        </w:rPr>
        <w:br/>
      </w:r>
      <w:r w:rsidRPr="002E6DE3">
        <w:rPr>
          <w:rFonts w:asciiTheme="minorHAnsi" w:hAnsiTheme="minorHAnsi"/>
          <w:noProof/>
          <w:sz w:val="22"/>
          <w:szCs w:val="22"/>
        </w:rPr>
        <w:t>2015 kaufte der Belgier elf kg Fleischwaren, das ist genau die gleiche Menge wie im Vorjahr. Pökelwaren und Kochschinken bildeten das Hauptsegment und machten rund ein Viertel der Fleischwarenvolumen aus. Geflügel- und Putenfleischwaren konnten ihre Position weiter ausbauen.</w:t>
      </w:r>
    </w:p>
    <w:p w:rsidR="00E05005" w:rsidRPr="002E6DE3" w:rsidRDefault="002E6DE3" w:rsidP="002E6DE3">
      <w:pPr>
        <w:pStyle w:val="Normaalweb"/>
        <w:rPr>
          <w:rFonts w:asciiTheme="minorHAnsi" w:hAnsiTheme="minorHAnsi"/>
          <w:noProof/>
          <w:sz w:val="22"/>
          <w:szCs w:val="22"/>
        </w:rPr>
      </w:pPr>
      <w:r w:rsidRPr="002E6DE3">
        <w:rPr>
          <w:rFonts w:asciiTheme="minorHAnsi" w:hAnsiTheme="minorHAnsi"/>
          <w:noProof/>
          <w:sz w:val="22"/>
          <w:szCs w:val="22"/>
        </w:rPr>
        <w:t>Bei Fleischwaren ist der Hartdiscounter die Schiene, die am stärksten zulegen konnte. Mit einem Marktanteil von 34 Prozent ist die Position des Marktführers “DIS 1”, der über einen Marktanteil von 36 Prozent verfügt, in greifbarer Nähe.</w:t>
      </w:r>
    </w:p>
    <w:sectPr w:rsidR="00E05005" w:rsidRPr="002E6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E3"/>
    <w:rsid w:val="002E6DE3"/>
    <w:rsid w:val="005E1BF5"/>
    <w:rsid w:val="00E050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52E5"/>
  <w15:chartTrackingRefBased/>
  <w15:docId w15:val="{2F4ADEAF-A951-453B-B5BC-B069DD42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E6DE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E6DE3"/>
    <w:rPr>
      <w:i/>
      <w:iCs/>
    </w:rPr>
  </w:style>
  <w:style w:type="paragraph" w:styleId="Titel">
    <w:name w:val="Title"/>
    <w:basedOn w:val="Standaard"/>
    <w:next w:val="Standaard"/>
    <w:link w:val="TitelChar"/>
    <w:uiPriority w:val="10"/>
    <w:qFormat/>
    <w:rsid w:val="002E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6D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783">
      <w:bodyDiv w:val="1"/>
      <w:marLeft w:val="0"/>
      <w:marRight w:val="0"/>
      <w:marTop w:val="0"/>
      <w:marBottom w:val="0"/>
      <w:divBdr>
        <w:top w:val="none" w:sz="0" w:space="0" w:color="auto"/>
        <w:left w:val="none" w:sz="0" w:space="0" w:color="auto"/>
        <w:bottom w:val="none" w:sz="0" w:space="0" w:color="auto"/>
        <w:right w:val="none" w:sz="0" w:space="0" w:color="auto"/>
      </w:divBdr>
    </w:div>
    <w:div w:id="1807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19519929425925E-2"/>
          <c:y val="0.14240631064036222"/>
          <c:w val="0.68814009906596652"/>
          <c:h val="0.73047496952433077"/>
        </c:manualLayout>
      </c:layout>
      <c:barChart>
        <c:barDir val="col"/>
        <c:grouping val="percentStacked"/>
        <c:varyColors val="0"/>
        <c:ser>
          <c:idx val="0"/>
          <c:order val="0"/>
          <c:tx>
            <c:strRef>
              <c:f>Sheet1!$A$2</c:f>
              <c:strCache>
                <c:ptCount val="1"/>
                <c:pt idx="0">
                  <c:v>Rindfleisch</c:v>
                </c:pt>
              </c:strCache>
            </c:strRef>
          </c:tx>
          <c:spPr>
            <a:solidFill>
              <a:srgbClr val="FF6600"/>
            </a:solidFill>
            <a:ln w="11563">
              <a:solidFill>
                <a:schemeClr val="tx1"/>
              </a:solidFill>
              <a:prstDash val="solid"/>
            </a:ln>
          </c:spPr>
          <c:invertIfNegative val="0"/>
          <c:dLbls>
            <c:numFmt formatCode="0%" sourceLinked="0"/>
            <c:spPr>
              <a:noFill/>
              <a:ln w="23125">
                <a:noFill/>
              </a:ln>
            </c:spPr>
            <c:txPr>
              <a:bodyPr/>
              <a:lstStyle/>
              <a:p>
                <a:pPr>
                  <a:defRPr sz="888" b="0" i="0" u="none" strike="noStrike" baseline="0">
                    <a:solidFill>
                      <a:schemeClr val="tx1"/>
                    </a:solidFill>
                    <a:latin typeface="Arial"/>
                    <a:ea typeface="Arial"/>
                    <a:cs typeface="Arial"/>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2008</c:v>
                </c:pt>
                <c:pt idx="1">
                  <c:v>2009</c:v>
                </c:pt>
                <c:pt idx="2">
                  <c:v>2010</c:v>
                </c:pt>
                <c:pt idx="3">
                  <c:v>2011</c:v>
                </c:pt>
                <c:pt idx="4">
                  <c:v>2012</c:v>
                </c:pt>
                <c:pt idx="5">
                  <c:v>2013</c:v>
                </c:pt>
                <c:pt idx="6">
                  <c:v>2014</c:v>
                </c:pt>
                <c:pt idx="7">
                  <c:v>2015</c:v>
                </c:pt>
                <c:pt idx="9">
                  <c:v>2008</c:v>
                </c:pt>
                <c:pt idx="10">
                  <c:v>2009</c:v>
                </c:pt>
                <c:pt idx="11">
                  <c:v>2010</c:v>
                </c:pt>
                <c:pt idx="12">
                  <c:v>2011</c:v>
                </c:pt>
                <c:pt idx="13">
                  <c:v>2012</c:v>
                </c:pt>
                <c:pt idx="14">
                  <c:v>2013</c:v>
                </c:pt>
                <c:pt idx="15">
                  <c:v>2014</c:v>
                </c:pt>
                <c:pt idx="16">
                  <c:v>2015</c:v>
                </c:pt>
              </c:numCache>
            </c:numRef>
          </c:cat>
          <c:val>
            <c:numRef>
              <c:f>Sheet1!$B$2:$R$2</c:f>
              <c:numCache>
                <c:formatCode>0.00%</c:formatCode>
                <c:ptCount val="17"/>
                <c:pt idx="0">
                  <c:v>0.27265482000000002</c:v>
                </c:pt>
                <c:pt idx="1">
                  <c:v>0.26915675</c:v>
                </c:pt>
                <c:pt idx="2">
                  <c:v>0.26648828000000002</c:v>
                </c:pt>
                <c:pt idx="3">
                  <c:v>0.26461662000000002</c:v>
                </c:pt>
                <c:pt idx="4">
                  <c:v>0.26412933</c:v>
                </c:pt>
                <c:pt idx="5">
                  <c:v>0.25466817000000003</c:v>
                </c:pt>
                <c:pt idx="6">
                  <c:v>0.25419840999999999</c:v>
                </c:pt>
                <c:pt idx="7">
                  <c:v>0.24651598</c:v>
                </c:pt>
                <c:pt idx="9">
                  <c:v>0.33504242000000001</c:v>
                </c:pt>
                <c:pt idx="10">
                  <c:v>0.33067890999999999</c:v>
                </c:pt>
                <c:pt idx="11">
                  <c:v>0.32738777000000002</c:v>
                </c:pt>
                <c:pt idx="12">
                  <c:v>0.32803174000000002</c:v>
                </c:pt>
                <c:pt idx="13">
                  <c:v>0.32252661999999999</c:v>
                </c:pt>
                <c:pt idx="14">
                  <c:v>0.31816501000000003</c:v>
                </c:pt>
                <c:pt idx="15">
                  <c:v>0.32085946999999998</c:v>
                </c:pt>
                <c:pt idx="16">
                  <c:v>0.31677961999999998</c:v>
                </c:pt>
              </c:numCache>
            </c:numRef>
          </c:val>
          <c:extLst>
            <c:ext xmlns:c16="http://schemas.microsoft.com/office/drawing/2014/chart" uri="{C3380CC4-5D6E-409C-BE32-E72D297353CC}">
              <c16:uniqueId val="{00000000-3F52-469A-B389-5A3AA82800DE}"/>
            </c:ext>
          </c:extLst>
        </c:ser>
        <c:ser>
          <c:idx val="1"/>
          <c:order val="1"/>
          <c:tx>
            <c:strRef>
              <c:f>Sheet1!$A$3</c:f>
              <c:strCache>
                <c:ptCount val="1"/>
                <c:pt idx="0">
                  <c:v>Kalbfleisch</c:v>
                </c:pt>
              </c:strCache>
            </c:strRef>
          </c:tx>
          <c:spPr>
            <a:solidFill>
              <a:srgbClr val="FFFF99"/>
            </a:solidFill>
            <a:ln w="11563">
              <a:solidFill>
                <a:schemeClr val="tx1"/>
              </a:solidFill>
              <a:prstDash val="solid"/>
            </a:ln>
          </c:spPr>
          <c:invertIfNegative val="0"/>
          <c:dLbls>
            <c:numFmt formatCode="0%" sourceLinked="0"/>
            <c:spPr>
              <a:noFill/>
              <a:ln w="23125">
                <a:noFill/>
              </a:ln>
            </c:spPr>
            <c:txPr>
              <a:bodyPr/>
              <a:lstStyle/>
              <a:p>
                <a:pPr>
                  <a:defRPr sz="888" b="0" i="0" u="none" strike="noStrike" baseline="0">
                    <a:solidFill>
                      <a:schemeClr val="tx1"/>
                    </a:solidFill>
                    <a:latin typeface="Arial"/>
                    <a:ea typeface="Arial"/>
                    <a:cs typeface="Arial"/>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2008</c:v>
                </c:pt>
                <c:pt idx="1">
                  <c:v>2009</c:v>
                </c:pt>
                <c:pt idx="2">
                  <c:v>2010</c:v>
                </c:pt>
                <c:pt idx="3">
                  <c:v>2011</c:v>
                </c:pt>
                <c:pt idx="4">
                  <c:v>2012</c:v>
                </c:pt>
                <c:pt idx="5">
                  <c:v>2013</c:v>
                </c:pt>
                <c:pt idx="6">
                  <c:v>2014</c:v>
                </c:pt>
                <c:pt idx="7">
                  <c:v>2015</c:v>
                </c:pt>
                <c:pt idx="9">
                  <c:v>2008</c:v>
                </c:pt>
                <c:pt idx="10">
                  <c:v>2009</c:v>
                </c:pt>
                <c:pt idx="11">
                  <c:v>2010</c:v>
                </c:pt>
                <c:pt idx="12">
                  <c:v>2011</c:v>
                </c:pt>
                <c:pt idx="13">
                  <c:v>2012</c:v>
                </c:pt>
                <c:pt idx="14">
                  <c:v>2013</c:v>
                </c:pt>
                <c:pt idx="15">
                  <c:v>2014</c:v>
                </c:pt>
                <c:pt idx="16">
                  <c:v>2015</c:v>
                </c:pt>
              </c:numCache>
            </c:numRef>
          </c:cat>
          <c:val>
            <c:numRef>
              <c:f>Sheet1!$B$3:$R$3</c:f>
              <c:numCache>
                <c:formatCode>0.00%</c:formatCode>
                <c:ptCount val="17"/>
                <c:pt idx="0">
                  <c:v>4.0850820000000003E-2</c:v>
                </c:pt>
                <c:pt idx="1">
                  <c:v>4.260655E-2</c:v>
                </c:pt>
                <c:pt idx="2">
                  <c:v>4.1124290000000001E-2</c:v>
                </c:pt>
                <c:pt idx="3">
                  <c:v>3.9566619999999997E-2</c:v>
                </c:pt>
                <c:pt idx="4">
                  <c:v>3.8644480000000002E-2</c:v>
                </c:pt>
                <c:pt idx="5">
                  <c:v>3.7534860000000003E-2</c:v>
                </c:pt>
                <c:pt idx="6">
                  <c:v>3.9115999999999998E-2</c:v>
                </c:pt>
                <c:pt idx="7">
                  <c:v>3.7395619999999997E-2</c:v>
                </c:pt>
                <c:pt idx="9">
                  <c:v>6.0278310000000002E-2</c:v>
                </c:pt>
                <c:pt idx="10">
                  <c:v>6.1600660000000002E-2</c:v>
                </c:pt>
                <c:pt idx="11">
                  <c:v>6.0911279999999998E-2</c:v>
                </c:pt>
                <c:pt idx="12">
                  <c:v>5.8642729999999997E-2</c:v>
                </c:pt>
                <c:pt idx="13">
                  <c:v>5.7371510000000001E-2</c:v>
                </c:pt>
                <c:pt idx="14">
                  <c:v>5.5966389999999998E-2</c:v>
                </c:pt>
                <c:pt idx="15">
                  <c:v>5.786612E-2</c:v>
                </c:pt>
                <c:pt idx="16">
                  <c:v>5.4337980000000001E-2</c:v>
                </c:pt>
              </c:numCache>
            </c:numRef>
          </c:val>
          <c:extLst>
            <c:ext xmlns:c16="http://schemas.microsoft.com/office/drawing/2014/chart" uri="{C3380CC4-5D6E-409C-BE32-E72D297353CC}">
              <c16:uniqueId val="{00000001-3F52-469A-B389-5A3AA82800DE}"/>
            </c:ext>
          </c:extLst>
        </c:ser>
        <c:ser>
          <c:idx val="2"/>
          <c:order val="2"/>
          <c:tx>
            <c:strRef>
              <c:f>Sheet1!$A$4</c:f>
              <c:strCache>
                <c:ptCount val="1"/>
                <c:pt idx="0">
                  <c:v>Schweinefleisch</c:v>
                </c:pt>
              </c:strCache>
            </c:strRef>
          </c:tx>
          <c:spPr>
            <a:solidFill>
              <a:srgbClr val="FF99CC"/>
            </a:solidFill>
            <a:ln w="11563">
              <a:solidFill>
                <a:schemeClr val="tx1"/>
              </a:solidFill>
              <a:prstDash val="solid"/>
            </a:ln>
          </c:spPr>
          <c:invertIfNegative val="0"/>
          <c:dLbls>
            <c:numFmt formatCode="0%" sourceLinked="0"/>
            <c:spPr>
              <a:noFill/>
              <a:ln w="23125">
                <a:noFill/>
              </a:ln>
            </c:spPr>
            <c:txPr>
              <a:bodyPr/>
              <a:lstStyle/>
              <a:p>
                <a:pPr>
                  <a:defRPr sz="888" b="0" i="0" u="none" strike="noStrike" baseline="0">
                    <a:solidFill>
                      <a:schemeClr val="tx1"/>
                    </a:solidFill>
                    <a:latin typeface="Arial"/>
                    <a:ea typeface="Arial"/>
                    <a:cs typeface="Aria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2008</c:v>
                </c:pt>
                <c:pt idx="1">
                  <c:v>2009</c:v>
                </c:pt>
                <c:pt idx="2">
                  <c:v>2010</c:v>
                </c:pt>
                <c:pt idx="3">
                  <c:v>2011</c:v>
                </c:pt>
                <c:pt idx="4">
                  <c:v>2012</c:v>
                </c:pt>
                <c:pt idx="5">
                  <c:v>2013</c:v>
                </c:pt>
                <c:pt idx="6">
                  <c:v>2014</c:v>
                </c:pt>
                <c:pt idx="7">
                  <c:v>2015</c:v>
                </c:pt>
                <c:pt idx="9">
                  <c:v>2008</c:v>
                </c:pt>
                <c:pt idx="10">
                  <c:v>2009</c:v>
                </c:pt>
                <c:pt idx="11">
                  <c:v>2010</c:v>
                </c:pt>
                <c:pt idx="12">
                  <c:v>2011</c:v>
                </c:pt>
                <c:pt idx="13">
                  <c:v>2012</c:v>
                </c:pt>
                <c:pt idx="14">
                  <c:v>2013</c:v>
                </c:pt>
                <c:pt idx="15">
                  <c:v>2014</c:v>
                </c:pt>
                <c:pt idx="16">
                  <c:v>2015</c:v>
                </c:pt>
              </c:numCache>
            </c:numRef>
          </c:cat>
          <c:val>
            <c:numRef>
              <c:f>Sheet1!$B$4:$R$4</c:f>
              <c:numCache>
                <c:formatCode>0.00%</c:formatCode>
                <c:ptCount val="17"/>
                <c:pt idx="0">
                  <c:v>0.30419762</c:v>
                </c:pt>
                <c:pt idx="1">
                  <c:v>0.30303911</c:v>
                </c:pt>
                <c:pt idx="2">
                  <c:v>0.29781678</c:v>
                </c:pt>
                <c:pt idx="3">
                  <c:v>0.29589042999999998</c:v>
                </c:pt>
                <c:pt idx="4">
                  <c:v>0.30048710000000001</c:v>
                </c:pt>
                <c:pt idx="5">
                  <c:v>0.29500626000000002</c:v>
                </c:pt>
                <c:pt idx="6">
                  <c:v>0.29784522000000002</c:v>
                </c:pt>
                <c:pt idx="7">
                  <c:v>0.31065356</c:v>
                </c:pt>
                <c:pt idx="9">
                  <c:v>0.25301821000000002</c:v>
                </c:pt>
                <c:pt idx="10">
                  <c:v>0.25148695999999998</c:v>
                </c:pt>
                <c:pt idx="11">
                  <c:v>0.25070720000000002</c:v>
                </c:pt>
                <c:pt idx="12">
                  <c:v>0.25034488999999999</c:v>
                </c:pt>
                <c:pt idx="13">
                  <c:v>0.25643179999999999</c:v>
                </c:pt>
                <c:pt idx="14">
                  <c:v>0.25068363999999999</c:v>
                </c:pt>
                <c:pt idx="15">
                  <c:v>0.25553255000000002</c:v>
                </c:pt>
                <c:pt idx="16">
                  <c:v>0.26270599</c:v>
                </c:pt>
              </c:numCache>
            </c:numRef>
          </c:val>
          <c:extLst>
            <c:ext xmlns:c16="http://schemas.microsoft.com/office/drawing/2014/chart" uri="{C3380CC4-5D6E-409C-BE32-E72D297353CC}">
              <c16:uniqueId val="{00000002-3F52-469A-B389-5A3AA82800DE}"/>
            </c:ext>
          </c:extLst>
        </c:ser>
        <c:ser>
          <c:idx val="3"/>
          <c:order val="3"/>
          <c:tx>
            <c:strRef>
              <c:f>Sheet1!$A$5</c:f>
              <c:strCache>
                <c:ptCount val="1"/>
                <c:pt idx="0">
                  <c:v>Schaf- und Lammfleisch</c:v>
                </c:pt>
              </c:strCache>
            </c:strRef>
          </c:tx>
          <c:spPr>
            <a:solidFill>
              <a:srgbClr val="FFFFFF"/>
            </a:solidFill>
            <a:ln w="11563">
              <a:solidFill>
                <a:schemeClr val="tx1"/>
              </a:solidFill>
              <a:prstDash val="solid"/>
            </a:ln>
          </c:spPr>
          <c:invertIfNegative val="0"/>
          <c:dLbls>
            <c:numFmt formatCode="0%" sourceLinked="0"/>
            <c:spPr>
              <a:noFill/>
              <a:ln w="23125">
                <a:noFill/>
              </a:ln>
            </c:spPr>
            <c:txPr>
              <a:bodyPr/>
              <a:lstStyle/>
              <a:p>
                <a:pPr>
                  <a:defRPr sz="888" b="0" i="0" u="none" strike="noStrike" baseline="0">
                    <a:solidFill>
                      <a:schemeClr val="tx1"/>
                    </a:solidFill>
                    <a:latin typeface="Arial"/>
                    <a:ea typeface="Arial"/>
                    <a:cs typeface="Aria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2008</c:v>
                </c:pt>
                <c:pt idx="1">
                  <c:v>2009</c:v>
                </c:pt>
                <c:pt idx="2">
                  <c:v>2010</c:v>
                </c:pt>
                <c:pt idx="3">
                  <c:v>2011</c:v>
                </c:pt>
                <c:pt idx="4">
                  <c:v>2012</c:v>
                </c:pt>
                <c:pt idx="5">
                  <c:v>2013</c:v>
                </c:pt>
                <c:pt idx="6">
                  <c:v>2014</c:v>
                </c:pt>
                <c:pt idx="7">
                  <c:v>2015</c:v>
                </c:pt>
                <c:pt idx="9">
                  <c:v>2008</c:v>
                </c:pt>
                <c:pt idx="10">
                  <c:v>2009</c:v>
                </c:pt>
                <c:pt idx="11">
                  <c:v>2010</c:v>
                </c:pt>
                <c:pt idx="12">
                  <c:v>2011</c:v>
                </c:pt>
                <c:pt idx="13">
                  <c:v>2012</c:v>
                </c:pt>
                <c:pt idx="14">
                  <c:v>2013</c:v>
                </c:pt>
                <c:pt idx="15">
                  <c:v>2014</c:v>
                </c:pt>
                <c:pt idx="16">
                  <c:v>2015</c:v>
                </c:pt>
              </c:numCache>
            </c:numRef>
          </c:cat>
          <c:val>
            <c:numRef>
              <c:f>Sheet1!$B$5:$R$5</c:f>
              <c:numCache>
                <c:formatCode>0.00%</c:formatCode>
                <c:ptCount val="17"/>
                <c:pt idx="0">
                  <c:v>2.9732450000000001E-2</c:v>
                </c:pt>
                <c:pt idx="1">
                  <c:v>3.1335599999999998E-2</c:v>
                </c:pt>
                <c:pt idx="2">
                  <c:v>2.917494E-2</c:v>
                </c:pt>
                <c:pt idx="3">
                  <c:v>2.6934320000000001E-2</c:v>
                </c:pt>
                <c:pt idx="4">
                  <c:v>2.9053229999999999E-2</c:v>
                </c:pt>
                <c:pt idx="5">
                  <c:v>3.0158770000000001E-2</c:v>
                </c:pt>
                <c:pt idx="6">
                  <c:v>2.9683620000000001E-2</c:v>
                </c:pt>
                <c:pt idx="7">
                  <c:v>3.1211659999999999E-2</c:v>
                </c:pt>
                <c:pt idx="9">
                  <c:v>4.0773690000000001E-2</c:v>
                </c:pt>
                <c:pt idx="10">
                  <c:v>4.411317E-2</c:v>
                </c:pt>
                <c:pt idx="11">
                  <c:v>4.3265909999999998E-2</c:v>
                </c:pt>
                <c:pt idx="12">
                  <c:v>4.1707220000000003E-2</c:v>
                </c:pt>
                <c:pt idx="13">
                  <c:v>4.3779449999999998E-2</c:v>
                </c:pt>
                <c:pt idx="14">
                  <c:v>4.3839240000000002E-2</c:v>
                </c:pt>
                <c:pt idx="15">
                  <c:v>4.339345E-2</c:v>
                </c:pt>
                <c:pt idx="16">
                  <c:v>4.5832459999999998E-2</c:v>
                </c:pt>
              </c:numCache>
            </c:numRef>
          </c:val>
          <c:extLst>
            <c:ext xmlns:c16="http://schemas.microsoft.com/office/drawing/2014/chart" uri="{C3380CC4-5D6E-409C-BE32-E72D297353CC}">
              <c16:uniqueId val="{00000003-3F52-469A-B389-5A3AA82800DE}"/>
            </c:ext>
          </c:extLst>
        </c:ser>
        <c:ser>
          <c:idx val="4"/>
          <c:order val="4"/>
          <c:tx>
            <c:strRef>
              <c:f>Sheet1!$A$6</c:f>
              <c:strCache>
                <c:ptCount val="1"/>
                <c:pt idx="0">
                  <c:v>Pferdefleisch</c:v>
                </c:pt>
              </c:strCache>
            </c:strRef>
          </c:tx>
          <c:spPr>
            <a:solidFill>
              <a:srgbClr val="FF6600"/>
            </a:solidFill>
            <a:ln w="11563">
              <a:solidFill>
                <a:schemeClr val="tx1"/>
              </a:solidFill>
              <a:prstDash val="solid"/>
            </a:ln>
          </c:spPr>
          <c:invertIfNegative val="0"/>
          <c:dLbls>
            <c:numFmt formatCode="0%" sourceLinked="0"/>
            <c:spPr>
              <a:noFill/>
              <a:ln w="23125">
                <a:noFill/>
              </a:ln>
            </c:spPr>
            <c:txPr>
              <a:bodyPr/>
              <a:lstStyle/>
              <a:p>
                <a:pPr>
                  <a:defRPr sz="888" b="0" i="0" u="none" strike="noStrike" baseline="0">
                    <a:solidFill>
                      <a:schemeClr val="tx1"/>
                    </a:solidFill>
                    <a:latin typeface="Arial"/>
                    <a:ea typeface="Arial"/>
                    <a:cs typeface="Aria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2008</c:v>
                </c:pt>
                <c:pt idx="1">
                  <c:v>2009</c:v>
                </c:pt>
                <c:pt idx="2">
                  <c:v>2010</c:v>
                </c:pt>
                <c:pt idx="3">
                  <c:v>2011</c:v>
                </c:pt>
                <c:pt idx="4">
                  <c:v>2012</c:v>
                </c:pt>
                <c:pt idx="5">
                  <c:v>2013</c:v>
                </c:pt>
                <c:pt idx="6">
                  <c:v>2014</c:v>
                </c:pt>
                <c:pt idx="7">
                  <c:v>2015</c:v>
                </c:pt>
                <c:pt idx="9">
                  <c:v>2008</c:v>
                </c:pt>
                <c:pt idx="10">
                  <c:v>2009</c:v>
                </c:pt>
                <c:pt idx="11">
                  <c:v>2010</c:v>
                </c:pt>
                <c:pt idx="12">
                  <c:v>2011</c:v>
                </c:pt>
                <c:pt idx="13">
                  <c:v>2012</c:v>
                </c:pt>
                <c:pt idx="14">
                  <c:v>2013</c:v>
                </c:pt>
                <c:pt idx="15">
                  <c:v>2014</c:v>
                </c:pt>
                <c:pt idx="16">
                  <c:v>2015</c:v>
                </c:pt>
              </c:numCache>
            </c:numRef>
          </c:cat>
          <c:val>
            <c:numRef>
              <c:f>Sheet1!$B$6:$R$6</c:f>
              <c:numCache>
                <c:formatCode>0.00%</c:formatCode>
                <c:ptCount val="17"/>
                <c:pt idx="0">
                  <c:v>1.0967090000000001E-2</c:v>
                </c:pt>
                <c:pt idx="1">
                  <c:v>1.093886E-2</c:v>
                </c:pt>
                <c:pt idx="2">
                  <c:v>9.5824299999999994E-3</c:v>
                </c:pt>
                <c:pt idx="3">
                  <c:v>9.18333E-3</c:v>
                </c:pt>
                <c:pt idx="4">
                  <c:v>8.6161499999999995E-3</c:v>
                </c:pt>
                <c:pt idx="5">
                  <c:v>7.54275E-3</c:v>
                </c:pt>
                <c:pt idx="6">
                  <c:v>6.8356800000000002E-3</c:v>
                </c:pt>
                <c:pt idx="7">
                  <c:v>6.3998800000000002E-3</c:v>
                </c:pt>
                <c:pt idx="9">
                  <c:v>1.628371E-2</c:v>
                </c:pt>
                <c:pt idx="10">
                  <c:v>1.558698E-2</c:v>
                </c:pt>
                <c:pt idx="11">
                  <c:v>1.4032569999999999E-2</c:v>
                </c:pt>
                <c:pt idx="12">
                  <c:v>1.311009E-2</c:v>
                </c:pt>
                <c:pt idx="13">
                  <c:v>1.235409E-2</c:v>
                </c:pt>
                <c:pt idx="14">
                  <c:v>1.112435E-2</c:v>
                </c:pt>
                <c:pt idx="15">
                  <c:v>1.060929E-2</c:v>
                </c:pt>
                <c:pt idx="16">
                  <c:v>9.9798700000000001E-3</c:v>
                </c:pt>
              </c:numCache>
            </c:numRef>
          </c:val>
          <c:extLst>
            <c:ext xmlns:c16="http://schemas.microsoft.com/office/drawing/2014/chart" uri="{C3380CC4-5D6E-409C-BE32-E72D297353CC}">
              <c16:uniqueId val="{00000004-3F52-469A-B389-5A3AA82800DE}"/>
            </c:ext>
          </c:extLst>
        </c:ser>
        <c:ser>
          <c:idx val="5"/>
          <c:order val="5"/>
          <c:tx>
            <c:strRef>
              <c:f>Sheet1!$A$7</c:f>
              <c:strCache>
                <c:ptCount val="1"/>
                <c:pt idx="0">
                  <c:v>Fleischzubereitungen</c:v>
                </c:pt>
              </c:strCache>
            </c:strRef>
          </c:tx>
          <c:spPr>
            <a:solidFill>
              <a:srgbClr val="FFCC99"/>
            </a:solidFill>
            <a:ln w="11563">
              <a:solidFill>
                <a:schemeClr val="tx1"/>
              </a:solidFill>
              <a:prstDash val="solid"/>
            </a:ln>
          </c:spPr>
          <c:invertIfNegative val="0"/>
          <c:dLbls>
            <c:numFmt formatCode="0%" sourceLinked="0"/>
            <c:spPr>
              <a:noFill/>
              <a:ln w="23125">
                <a:noFill/>
              </a:ln>
            </c:spPr>
            <c:txPr>
              <a:bodyPr/>
              <a:lstStyle/>
              <a:p>
                <a:pPr>
                  <a:defRPr sz="888" b="0" i="0" u="none" strike="noStrike" baseline="0">
                    <a:solidFill>
                      <a:schemeClr val="tx1"/>
                    </a:solidFill>
                    <a:latin typeface="Arial"/>
                    <a:ea typeface="Arial"/>
                    <a:cs typeface="Aria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2008</c:v>
                </c:pt>
                <c:pt idx="1">
                  <c:v>2009</c:v>
                </c:pt>
                <c:pt idx="2">
                  <c:v>2010</c:v>
                </c:pt>
                <c:pt idx="3">
                  <c:v>2011</c:v>
                </c:pt>
                <c:pt idx="4">
                  <c:v>2012</c:v>
                </c:pt>
                <c:pt idx="5">
                  <c:v>2013</c:v>
                </c:pt>
                <c:pt idx="6">
                  <c:v>2014</c:v>
                </c:pt>
                <c:pt idx="7">
                  <c:v>2015</c:v>
                </c:pt>
                <c:pt idx="9">
                  <c:v>2008</c:v>
                </c:pt>
                <c:pt idx="10">
                  <c:v>2009</c:v>
                </c:pt>
                <c:pt idx="11">
                  <c:v>2010</c:v>
                </c:pt>
                <c:pt idx="12">
                  <c:v>2011</c:v>
                </c:pt>
                <c:pt idx="13">
                  <c:v>2012</c:v>
                </c:pt>
                <c:pt idx="14">
                  <c:v>2013</c:v>
                </c:pt>
                <c:pt idx="15">
                  <c:v>2014</c:v>
                </c:pt>
                <c:pt idx="16">
                  <c:v>2015</c:v>
                </c:pt>
              </c:numCache>
            </c:numRef>
          </c:cat>
          <c:val>
            <c:numRef>
              <c:f>Sheet1!$B$7:$R$7</c:f>
              <c:numCache>
                <c:formatCode>0.00%</c:formatCode>
                <c:ptCount val="17"/>
                <c:pt idx="0">
                  <c:v>0.32932363999999997</c:v>
                </c:pt>
                <c:pt idx="1">
                  <c:v>0.33143633</c:v>
                </c:pt>
                <c:pt idx="2">
                  <c:v>0.34451182000000002</c:v>
                </c:pt>
                <c:pt idx="3">
                  <c:v>0.35310047999999999</c:v>
                </c:pt>
                <c:pt idx="4">
                  <c:v>0.34940695999999999</c:v>
                </c:pt>
                <c:pt idx="5">
                  <c:v>0.36638530000000002</c:v>
                </c:pt>
                <c:pt idx="6">
                  <c:v>0.36384551999999998</c:v>
                </c:pt>
                <c:pt idx="7">
                  <c:v>0.35982307000000002</c:v>
                </c:pt>
                <c:pt idx="9">
                  <c:v>0.28465805999999999</c:v>
                </c:pt>
                <c:pt idx="10">
                  <c:v>0.28700651999999999</c:v>
                </c:pt>
                <c:pt idx="11">
                  <c:v>0.29509220000000003</c:v>
                </c:pt>
                <c:pt idx="12">
                  <c:v>0.29972948999999999</c:v>
                </c:pt>
                <c:pt idx="13">
                  <c:v>0.29956980999999999</c:v>
                </c:pt>
                <c:pt idx="14">
                  <c:v>0.31308883999999998</c:v>
                </c:pt>
                <c:pt idx="15">
                  <c:v>0.30473449000000002</c:v>
                </c:pt>
                <c:pt idx="16">
                  <c:v>0.30327136999999998</c:v>
                </c:pt>
              </c:numCache>
            </c:numRef>
          </c:val>
          <c:extLst>
            <c:ext xmlns:c16="http://schemas.microsoft.com/office/drawing/2014/chart" uri="{C3380CC4-5D6E-409C-BE32-E72D297353CC}">
              <c16:uniqueId val="{00000005-3F52-469A-B389-5A3AA82800DE}"/>
            </c:ext>
          </c:extLst>
        </c:ser>
        <c:ser>
          <c:idx val="6"/>
          <c:order val="6"/>
          <c:tx>
            <c:strRef>
              <c:f>Sheet1!$A$8</c:f>
              <c:strCache>
                <c:ptCount val="1"/>
                <c:pt idx="0">
                  <c:v>Innereien</c:v>
                </c:pt>
              </c:strCache>
            </c:strRef>
          </c:tx>
          <c:spPr>
            <a:solidFill>
              <a:srgbClr val="99CC00"/>
            </a:solidFill>
            <a:ln w="11563">
              <a:solidFill>
                <a:schemeClr val="tx1"/>
              </a:solidFill>
              <a:prstDash val="solid"/>
            </a:ln>
          </c:spPr>
          <c:invertIfNegative val="0"/>
          <c:dLbls>
            <c:numFmt formatCode="0%" sourceLinked="0"/>
            <c:spPr>
              <a:noFill/>
              <a:ln w="23125">
                <a:noFill/>
              </a:ln>
            </c:spPr>
            <c:txPr>
              <a:bodyPr/>
              <a:lstStyle/>
              <a:p>
                <a:pPr>
                  <a:defRPr sz="888" b="0" i="0" u="none" strike="noStrike" baseline="0">
                    <a:solidFill>
                      <a:schemeClr val="tx1"/>
                    </a:solidFill>
                    <a:latin typeface="Arial"/>
                    <a:ea typeface="Arial"/>
                    <a:cs typeface="Arial"/>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2008</c:v>
                </c:pt>
                <c:pt idx="1">
                  <c:v>2009</c:v>
                </c:pt>
                <c:pt idx="2">
                  <c:v>2010</c:v>
                </c:pt>
                <c:pt idx="3">
                  <c:v>2011</c:v>
                </c:pt>
                <c:pt idx="4">
                  <c:v>2012</c:v>
                </c:pt>
                <c:pt idx="5">
                  <c:v>2013</c:v>
                </c:pt>
                <c:pt idx="6">
                  <c:v>2014</c:v>
                </c:pt>
                <c:pt idx="7">
                  <c:v>2015</c:v>
                </c:pt>
                <c:pt idx="9">
                  <c:v>2008</c:v>
                </c:pt>
                <c:pt idx="10">
                  <c:v>2009</c:v>
                </c:pt>
                <c:pt idx="11">
                  <c:v>2010</c:v>
                </c:pt>
                <c:pt idx="12">
                  <c:v>2011</c:v>
                </c:pt>
                <c:pt idx="13">
                  <c:v>2012</c:v>
                </c:pt>
                <c:pt idx="14">
                  <c:v>2013</c:v>
                </c:pt>
                <c:pt idx="15">
                  <c:v>2014</c:v>
                </c:pt>
                <c:pt idx="16">
                  <c:v>2015</c:v>
                </c:pt>
              </c:numCache>
            </c:numRef>
          </c:cat>
          <c:val>
            <c:numRef>
              <c:f>Sheet1!$B$8:$R$8</c:f>
              <c:numCache>
                <c:formatCode>0.00%</c:formatCode>
                <c:ptCount val="17"/>
                <c:pt idx="0">
                  <c:v>1.2273549999999999E-2</c:v>
                </c:pt>
                <c:pt idx="1">
                  <c:v>1.148679E-2</c:v>
                </c:pt>
                <c:pt idx="2">
                  <c:v>1.130142E-2</c:v>
                </c:pt>
                <c:pt idx="3">
                  <c:v>1.0708189999999999E-2</c:v>
                </c:pt>
                <c:pt idx="4">
                  <c:v>9.6627599999999994E-3</c:v>
                </c:pt>
                <c:pt idx="5">
                  <c:v>8.7039100000000005E-3</c:v>
                </c:pt>
                <c:pt idx="6">
                  <c:v>8.4755200000000003E-3</c:v>
                </c:pt>
                <c:pt idx="7">
                  <c:v>8.0001800000000008E-3</c:v>
                </c:pt>
                <c:pt idx="9">
                  <c:v>9.9456700000000002E-3</c:v>
                </c:pt>
                <c:pt idx="10">
                  <c:v>9.5268200000000001E-3</c:v>
                </c:pt>
                <c:pt idx="11">
                  <c:v>8.6031200000000006E-3</c:v>
                </c:pt>
                <c:pt idx="12">
                  <c:v>8.4338399999999997E-3</c:v>
                </c:pt>
                <c:pt idx="13">
                  <c:v>7.9666700000000003E-3</c:v>
                </c:pt>
                <c:pt idx="14">
                  <c:v>7.1325E-3</c:v>
                </c:pt>
                <c:pt idx="15">
                  <c:v>7.0045999999999997E-3</c:v>
                </c:pt>
                <c:pt idx="16">
                  <c:v>7.0927200000000003E-3</c:v>
                </c:pt>
              </c:numCache>
            </c:numRef>
          </c:val>
          <c:extLst>
            <c:ext xmlns:c16="http://schemas.microsoft.com/office/drawing/2014/chart" uri="{C3380CC4-5D6E-409C-BE32-E72D297353CC}">
              <c16:uniqueId val="{00000006-3F52-469A-B389-5A3AA82800DE}"/>
            </c:ext>
          </c:extLst>
        </c:ser>
        <c:dLbls>
          <c:showLegendKey val="0"/>
          <c:showVal val="1"/>
          <c:showCatName val="0"/>
          <c:showSerName val="0"/>
          <c:showPercent val="0"/>
          <c:showBubbleSize val="0"/>
        </c:dLbls>
        <c:gapWidth val="50"/>
        <c:overlap val="100"/>
        <c:axId val="93709056"/>
        <c:axId val="93710592"/>
      </c:barChart>
      <c:catAx>
        <c:axId val="93709056"/>
        <c:scaling>
          <c:orientation val="minMax"/>
        </c:scaling>
        <c:delete val="0"/>
        <c:axPos val="b"/>
        <c:numFmt formatCode="General" sourceLinked="1"/>
        <c:majorTickMark val="out"/>
        <c:minorTickMark val="none"/>
        <c:tickLblPos val="nextTo"/>
        <c:spPr>
          <a:ln w="2891">
            <a:solidFill>
              <a:schemeClr val="tx1"/>
            </a:solidFill>
            <a:prstDash val="solid"/>
          </a:ln>
        </c:spPr>
        <c:txPr>
          <a:bodyPr rot="0" vert="horz"/>
          <a:lstStyle/>
          <a:p>
            <a:pPr>
              <a:defRPr sz="600" b="0" i="0" u="none" strike="noStrike" baseline="0">
                <a:solidFill>
                  <a:schemeClr val="tx1"/>
                </a:solidFill>
                <a:latin typeface="Arial"/>
                <a:ea typeface="Arial"/>
                <a:cs typeface="Arial"/>
              </a:defRPr>
            </a:pPr>
            <a:endParaRPr lang="nl-BE"/>
          </a:p>
        </c:txPr>
        <c:crossAx val="93710592"/>
        <c:crosses val="autoZero"/>
        <c:auto val="1"/>
        <c:lblAlgn val="ctr"/>
        <c:lblOffset val="100"/>
        <c:tickLblSkip val="1"/>
        <c:tickMarkSkip val="1"/>
        <c:noMultiLvlLbl val="0"/>
      </c:catAx>
      <c:valAx>
        <c:axId val="93710592"/>
        <c:scaling>
          <c:orientation val="minMax"/>
        </c:scaling>
        <c:delete val="0"/>
        <c:axPos val="l"/>
        <c:majorGridlines>
          <c:spPr>
            <a:ln w="2891">
              <a:solidFill>
                <a:schemeClr val="tx1"/>
              </a:solidFill>
              <a:prstDash val="solid"/>
            </a:ln>
          </c:spPr>
        </c:majorGridlines>
        <c:numFmt formatCode="0%" sourceLinked="1"/>
        <c:majorTickMark val="out"/>
        <c:minorTickMark val="none"/>
        <c:tickLblPos val="nextTo"/>
        <c:spPr>
          <a:ln w="2891">
            <a:solidFill>
              <a:schemeClr val="tx1"/>
            </a:solidFill>
            <a:prstDash val="solid"/>
          </a:ln>
        </c:spPr>
        <c:txPr>
          <a:bodyPr rot="0" vert="horz"/>
          <a:lstStyle/>
          <a:p>
            <a:pPr>
              <a:defRPr sz="1100" b="0" i="0" u="none" strike="noStrike" baseline="0">
                <a:solidFill>
                  <a:schemeClr val="tx1"/>
                </a:solidFill>
                <a:latin typeface="Arial"/>
                <a:ea typeface="Arial"/>
                <a:cs typeface="Arial"/>
              </a:defRPr>
            </a:pPr>
            <a:endParaRPr lang="nl-BE"/>
          </a:p>
        </c:txPr>
        <c:crossAx val="93709056"/>
        <c:crosses val="autoZero"/>
        <c:crossBetween val="between"/>
        <c:majorUnit val="0.2"/>
      </c:valAx>
      <c:spPr>
        <a:noFill/>
        <a:ln w="11563">
          <a:solidFill>
            <a:schemeClr val="tx1"/>
          </a:solidFill>
          <a:prstDash val="solid"/>
        </a:ln>
      </c:spPr>
    </c:plotArea>
    <c:legend>
      <c:legendPos val="r"/>
      <c:layout>
        <c:manualLayout>
          <c:xMode val="edge"/>
          <c:yMode val="edge"/>
          <c:x val="0.81075491209927608"/>
          <c:y val="0.15423728813559323"/>
          <c:w val="0.18477737580099785"/>
          <c:h val="0.59661016949152545"/>
        </c:manualLayout>
      </c:layout>
      <c:overlay val="0"/>
      <c:spPr>
        <a:noFill/>
        <a:ln w="23125">
          <a:noFill/>
        </a:ln>
      </c:spPr>
      <c:txPr>
        <a:bodyPr/>
        <a:lstStyle/>
        <a:p>
          <a:pPr>
            <a:defRPr sz="800" b="0" i="0" u="none" strike="noStrike" baseline="0">
              <a:solidFill>
                <a:schemeClr val="tx1"/>
              </a:solidFill>
              <a:latin typeface="Arial"/>
              <a:ea typeface="Arial"/>
              <a:cs typeface="Arial"/>
            </a:defRPr>
          </a:pPr>
          <a:endParaRPr lang="nl-BE"/>
        </a:p>
      </c:txPr>
    </c:legend>
    <c:plotVisOnly val="1"/>
    <c:dispBlanksAs val="gap"/>
    <c:showDLblsOverMax val="0"/>
  </c:chart>
  <c:spPr>
    <a:noFill/>
    <a:ln>
      <a:noFill/>
    </a:ln>
  </c:spPr>
  <c:txPr>
    <a:bodyPr/>
    <a:lstStyle/>
    <a:p>
      <a:pPr>
        <a:defRPr sz="1320" b="0" i="0" u="none" strike="noStrike" baseline="0">
          <a:solidFill>
            <a:schemeClr val="tx1"/>
          </a:solidFill>
          <a:latin typeface="Arial"/>
          <a:ea typeface="Arial"/>
          <a:cs typeface="Arial"/>
        </a:defRPr>
      </a:pPr>
      <a:endParaRPr lang="nl-BE"/>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200" b="1" i="0" u="none" strike="noStrike" baseline="0" dirty="0" err="1">
                <a:effectLst/>
              </a:rPr>
              <a:t>Volumenanteil</a:t>
            </a:r>
            <a:r>
              <a:rPr lang="nl-BE" sz="1200" b="1" i="0" u="none" strike="noStrike" baseline="0" dirty="0">
                <a:effectLst/>
              </a:rPr>
              <a:t> (%)</a:t>
            </a:r>
            <a:endParaRPr lang="nl-BE" sz="1200" dirty="0"/>
          </a:p>
        </c:rich>
      </c:tx>
      <c:layout>
        <c:manualLayout>
          <c:xMode val="edge"/>
          <c:yMode val="edge"/>
          <c:x val="0.34653170693756885"/>
          <c:y val="1.6356573297894091E-2"/>
        </c:manualLayout>
      </c:layout>
      <c:overlay val="1"/>
    </c:title>
    <c:autoTitleDeleted val="0"/>
    <c:plotArea>
      <c:layout>
        <c:manualLayout>
          <c:layoutTarget val="inner"/>
          <c:xMode val="edge"/>
          <c:yMode val="edge"/>
          <c:x val="8.3123425692695208E-2"/>
          <c:y val="0.12731006160164271"/>
          <c:w val="0.72549185356216461"/>
          <c:h val="0.62536585980598802"/>
        </c:manualLayout>
      </c:layout>
      <c:barChart>
        <c:barDir val="col"/>
        <c:grouping val="percentStacked"/>
        <c:varyColors val="0"/>
        <c:ser>
          <c:idx val="0"/>
          <c:order val="0"/>
          <c:tx>
            <c:strRef>
              <c:f>Sheet1!$A$2</c:f>
              <c:strCache>
                <c:ptCount val="1"/>
                <c:pt idx="0">
                  <c:v>DIS 1</c:v>
                </c:pt>
              </c:strCache>
            </c:strRef>
          </c:tx>
          <c:spPr>
            <a:solidFill>
              <a:srgbClr val="99CCFF"/>
            </a:solidFill>
            <a:ln w="13103">
              <a:solidFill>
                <a:schemeClr val="tx1"/>
              </a:solidFill>
              <a:prstDash val="solid"/>
            </a:ln>
          </c:spPr>
          <c:invertIfNegative val="0"/>
          <c:dLbls>
            <c:numFmt formatCode="0.0%" sourceLinked="0"/>
            <c:spPr>
              <a:noFill/>
              <a:ln w="26205">
                <a:noFill/>
              </a:ln>
            </c:spPr>
            <c:txPr>
              <a:bodyPr/>
              <a:lstStyle/>
              <a:p>
                <a:pPr>
                  <a:defRPr sz="825" b="0" i="0" u="none" strike="noStrike" baseline="0">
                    <a:solidFill>
                      <a:schemeClr val="tx1"/>
                    </a:solidFill>
                    <a:latin typeface="Arial"/>
                    <a:ea typeface="Arial"/>
                    <a:cs typeface="Arial"/>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Sheet1!$B$2:$I$2</c:f>
              <c:numCache>
                <c:formatCode>0.00%</c:formatCode>
                <c:ptCount val="8"/>
                <c:pt idx="0">
                  <c:v>0.40205890999999999</c:v>
                </c:pt>
                <c:pt idx="1">
                  <c:v>0.41001500000000002</c:v>
                </c:pt>
                <c:pt idx="2">
                  <c:v>0.40037296</c:v>
                </c:pt>
                <c:pt idx="3">
                  <c:v>0.39166106000000001</c:v>
                </c:pt>
                <c:pt idx="4">
                  <c:v>0.3924454</c:v>
                </c:pt>
                <c:pt idx="5">
                  <c:v>0.39629516999999997</c:v>
                </c:pt>
                <c:pt idx="6">
                  <c:v>0.40631624</c:v>
                </c:pt>
                <c:pt idx="7">
                  <c:v>0.40592157000000001</c:v>
                </c:pt>
              </c:numCache>
            </c:numRef>
          </c:val>
          <c:extLst>
            <c:ext xmlns:c16="http://schemas.microsoft.com/office/drawing/2014/chart" uri="{C3380CC4-5D6E-409C-BE32-E72D297353CC}">
              <c16:uniqueId val="{00000000-7EAF-4CF2-B50D-5A82FDBF4F33}"/>
            </c:ext>
          </c:extLst>
        </c:ser>
        <c:ser>
          <c:idx val="1"/>
          <c:order val="1"/>
          <c:tx>
            <c:strRef>
              <c:f>Sheet1!$A$3</c:f>
              <c:strCache>
                <c:ptCount val="1"/>
                <c:pt idx="0">
                  <c:v>Harddiscounter</c:v>
                </c:pt>
              </c:strCache>
            </c:strRef>
          </c:tx>
          <c:spPr>
            <a:solidFill>
              <a:srgbClr val="FF9900"/>
            </a:solidFill>
            <a:ln w="13103">
              <a:solidFill>
                <a:schemeClr val="tx1"/>
              </a:solidFill>
              <a:prstDash val="solid"/>
            </a:ln>
          </c:spPr>
          <c:invertIfNegative val="0"/>
          <c:dLbls>
            <c:numFmt formatCode="0.0%" sourceLinked="0"/>
            <c:spPr>
              <a:noFill/>
              <a:ln w="26205">
                <a:noFill/>
              </a:ln>
            </c:spPr>
            <c:txPr>
              <a:bodyPr/>
              <a:lstStyle/>
              <a:p>
                <a:pPr>
                  <a:defRPr sz="825" b="0" i="0" u="none" strike="noStrike" baseline="0">
                    <a:solidFill>
                      <a:schemeClr val="tx1"/>
                    </a:solidFill>
                    <a:latin typeface="Arial"/>
                    <a:ea typeface="Arial"/>
                    <a:cs typeface="Arial"/>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Sheet1!$B$3:$I$3</c:f>
              <c:numCache>
                <c:formatCode>0.00%</c:formatCode>
                <c:ptCount val="8"/>
                <c:pt idx="0">
                  <c:v>6.2913579999999997E-2</c:v>
                </c:pt>
                <c:pt idx="1">
                  <c:v>5.6212030000000003E-2</c:v>
                </c:pt>
                <c:pt idx="2">
                  <c:v>6.2036359999999999E-2</c:v>
                </c:pt>
                <c:pt idx="3">
                  <c:v>7.1129609999999996E-2</c:v>
                </c:pt>
                <c:pt idx="4">
                  <c:v>8.562148E-2</c:v>
                </c:pt>
                <c:pt idx="5">
                  <c:v>9.8364590000000002E-2</c:v>
                </c:pt>
                <c:pt idx="6">
                  <c:v>0.12482113</c:v>
                </c:pt>
                <c:pt idx="7">
                  <c:v>0.11389856</c:v>
                </c:pt>
              </c:numCache>
            </c:numRef>
          </c:val>
          <c:extLst>
            <c:ext xmlns:c16="http://schemas.microsoft.com/office/drawing/2014/chart" uri="{C3380CC4-5D6E-409C-BE32-E72D297353CC}">
              <c16:uniqueId val="{00000001-7EAF-4CF2-B50D-5A82FDBF4F33}"/>
            </c:ext>
          </c:extLst>
        </c:ser>
        <c:ser>
          <c:idx val="2"/>
          <c:order val="2"/>
          <c:tx>
            <c:strRef>
              <c:f>Sheet1!$A$4</c:f>
              <c:strCache>
                <c:ptCount val="1"/>
                <c:pt idx="0">
                  <c:v>Nachbarschafts-Supermärkte</c:v>
                </c:pt>
              </c:strCache>
            </c:strRef>
          </c:tx>
          <c:spPr>
            <a:solidFill>
              <a:srgbClr val="FFCC99"/>
            </a:solidFill>
            <a:ln w="13103">
              <a:solidFill>
                <a:schemeClr val="tx1"/>
              </a:solidFill>
              <a:prstDash val="solid"/>
            </a:ln>
          </c:spPr>
          <c:invertIfNegative val="0"/>
          <c:dLbls>
            <c:numFmt formatCode="0.0%" sourceLinked="0"/>
            <c:spPr>
              <a:noFill/>
              <a:ln w="26205">
                <a:noFill/>
              </a:ln>
            </c:spPr>
            <c:txPr>
              <a:bodyPr/>
              <a:lstStyle/>
              <a:p>
                <a:pPr>
                  <a:defRPr sz="825" b="0" i="0" u="none" strike="noStrike" baseline="0">
                    <a:solidFill>
                      <a:schemeClr val="tx1"/>
                    </a:solidFill>
                    <a:latin typeface="Arial"/>
                    <a:ea typeface="Arial"/>
                    <a:cs typeface="Arial"/>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Sheet1!$B$4:$I$4</c:f>
              <c:numCache>
                <c:formatCode>0.00%</c:formatCode>
                <c:ptCount val="8"/>
                <c:pt idx="0">
                  <c:v>0.15815958999999999</c:v>
                </c:pt>
                <c:pt idx="1">
                  <c:v>0.16533633</c:v>
                </c:pt>
                <c:pt idx="2">
                  <c:v>0.16995179999999999</c:v>
                </c:pt>
                <c:pt idx="3">
                  <c:v>0.18041404999999999</c:v>
                </c:pt>
                <c:pt idx="4">
                  <c:v>0.18143124999999999</c:v>
                </c:pt>
                <c:pt idx="5">
                  <c:v>0.17983951000000001</c:v>
                </c:pt>
                <c:pt idx="6">
                  <c:v>0.17115152</c:v>
                </c:pt>
                <c:pt idx="7">
                  <c:v>0.17309332999999999</c:v>
                </c:pt>
              </c:numCache>
            </c:numRef>
          </c:val>
          <c:extLst>
            <c:ext xmlns:c16="http://schemas.microsoft.com/office/drawing/2014/chart" uri="{C3380CC4-5D6E-409C-BE32-E72D297353CC}">
              <c16:uniqueId val="{00000002-7EAF-4CF2-B50D-5A82FDBF4F33}"/>
            </c:ext>
          </c:extLst>
        </c:ser>
        <c:ser>
          <c:idx val="6"/>
          <c:order val="3"/>
          <c:tx>
            <c:strRef>
              <c:f>Sheet1!$A$5</c:f>
              <c:strCache>
                <c:ptCount val="1"/>
                <c:pt idx="0">
                  <c:v>Supermarkt</c:v>
                </c:pt>
              </c:strCache>
            </c:strRef>
          </c:tx>
          <c:spPr>
            <a:solidFill>
              <a:srgbClr val="0066CC"/>
            </a:solidFill>
            <a:ln w="13103">
              <a:solidFill>
                <a:schemeClr val="tx1"/>
              </a:solidFill>
              <a:prstDash val="solid"/>
            </a:ln>
          </c:spPr>
          <c:invertIfNegative val="0"/>
          <c:dLbls>
            <c:delete val="1"/>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Sheet1!$B$5:$I$5</c:f>
              <c:numCache>
                <c:formatCode>0.00%</c:formatCode>
                <c:ptCount val="8"/>
                <c:pt idx="0">
                  <c:v>1.077492E-2</c:v>
                </c:pt>
                <c:pt idx="1">
                  <c:v>1.293769E-2</c:v>
                </c:pt>
                <c:pt idx="2">
                  <c:v>1.3652879999999999E-2</c:v>
                </c:pt>
                <c:pt idx="3">
                  <c:v>1.7639660000000001E-2</c:v>
                </c:pt>
                <c:pt idx="4">
                  <c:v>1.452119E-2</c:v>
                </c:pt>
                <c:pt idx="5">
                  <c:v>1.4460310000000001E-2</c:v>
                </c:pt>
                <c:pt idx="6">
                  <c:v>1.188818E-2</c:v>
                </c:pt>
                <c:pt idx="7">
                  <c:v>1.4314469999999999E-2</c:v>
                </c:pt>
              </c:numCache>
            </c:numRef>
          </c:val>
          <c:extLst>
            <c:ext xmlns:c16="http://schemas.microsoft.com/office/drawing/2014/chart" uri="{C3380CC4-5D6E-409C-BE32-E72D297353CC}">
              <c16:uniqueId val="{00000003-7EAF-4CF2-B50D-5A82FDBF4F33}"/>
            </c:ext>
          </c:extLst>
        </c:ser>
        <c:ser>
          <c:idx val="3"/>
          <c:order val="4"/>
          <c:tx>
            <c:strRef>
              <c:f>Sheet1!$A$6</c:f>
              <c:strCache>
                <c:ptCount val="1"/>
                <c:pt idx="0">
                  <c:v>Öffentlicher Markt</c:v>
                </c:pt>
              </c:strCache>
            </c:strRef>
          </c:tx>
          <c:spPr>
            <a:solidFill>
              <a:srgbClr val="99CC00"/>
            </a:solidFill>
            <a:ln w="13103">
              <a:solidFill>
                <a:schemeClr val="tx1"/>
              </a:solidFill>
              <a:prstDash val="solid"/>
            </a:ln>
          </c:spPr>
          <c:invertIfNegative val="0"/>
          <c:dLbls>
            <c:delete val="1"/>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Sheet1!$B$6:$I$6</c:f>
              <c:numCache>
                <c:formatCode>0.00%</c:formatCode>
                <c:ptCount val="8"/>
                <c:pt idx="0">
                  <c:v>1.4617359999999999E-2</c:v>
                </c:pt>
                <c:pt idx="1">
                  <c:v>1.4834470000000001E-2</c:v>
                </c:pt>
                <c:pt idx="2">
                  <c:v>1.4636959999999999E-2</c:v>
                </c:pt>
                <c:pt idx="3">
                  <c:v>1.189169E-2</c:v>
                </c:pt>
                <c:pt idx="4">
                  <c:v>1.0665839999999999E-2</c:v>
                </c:pt>
                <c:pt idx="5">
                  <c:v>1.081385E-2</c:v>
                </c:pt>
                <c:pt idx="6">
                  <c:v>9.9689199999999992E-3</c:v>
                </c:pt>
                <c:pt idx="7">
                  <c:v>1.111904E-2</c:v>
                </c:pt>
              </c:numCache>
            </c:numRef>
          </c:val>
          <c:extLst>
            <c:ext xmlns:c16="http://schemas.microsoft.com/office/drawing/2014/chart" uri="{C3380CC4-5D6E-409C-BE32-E72D297353CC}">
              <c16:uniqueId val="{00000004-7EAF-4CF2-B50D-5A82FDBF4F33}"/>
            </c:ext>
          </c:extLst>
        </c:ser>
        <c:ser>
          <c:idx val="4"/>
          <c:order val="5"/>
          <c:tx>
            <c:strRef>
              <c:f>Sheet1!$A$7</c:f>
              <c:strCache>
                <c:ptCount val="1"/>
                <c:pt idx="0">
                  <c:v>Fleischerfach-Geschäft</c:v>
                </c:pt>
              </c:strCache>
            </c:strRef>
          </c:tx>
          <c:spPr>
            <a:solidFill>
              <a:srgbClr val="FF99CC"/>
            </a:solidFill>
            <a:ln w="13103">
              <a:solidFill>
                <a:schemeClr val="tx1"/>
              </a:solidFill>
              <a:prstDash val="solid"/>
            </a:ln>
          </c:spPr>
          <c:invertIfNegative val="0"/>
          <c:dLbls>
            <c:numFmt formatCode="0.0%" sourceLinked="0"/>
            <c:spPr>
              <a:noFill/>
              <a:ln w="26205">
                <a:noFill/>
              </a:ln>
            </c:spPr>
            <c:txPr>
              <a:bodyPr/>
              <a:lstStyle/>
              <a:p>
                <a:pPr>
                  <a:defRPr sz="825" b="0" i="0" u="none" strike="noStrike" baseline="0">
                    <a:solidFill>
                      <a:schemeClr val="tx1"/>
                    </a:solidFill>
                    <a:latin typeface="Arial"/>
                    <a:ea typeface="Arial"/>
                    <a:cs typeface="Arial"/>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Sheet1!$B$7:$I$7</c:f>
              <c:numCache>
                <c:formatCode>0.00%</c:formatCode>
                <c:ptCount val="8"/>
                <c:pt idx="0">
                  <c:v>0.32170907999999998</c:v>
                </c:pt>
                <c:pt idx="1">
                  <c:v>0.31026348999999998</c:v>
                </c:pt>
                <c:pt idx="2">
                  <c:v>0.30908841999999997</c:v>
                </c:pt>
                <c:pt idx="3">
                  <c:v>0.29135327999999999</c:v>
                </c:pt>
                <c:pt idx="4">
                  <c:v>0.28200883999999998</c:v>
                </c:pt>
                <c:pt idx="5">
                  <c:v>0.26489368000000002</c:v>
                </c:pt>
                <c:pt idx="6">
                  <c:v>0.23650694999999999</c:v>
                </c:pt>
                <c:pt idx="7">
                  <c:v>0.24060054</c:v>
                </c:pt>
              </c:numCache>
            </c:numRef>
          </c:val>
          <c:extLst>
            <c:ext xmlns:c16="http://schemas.microsoft.com/office/drawing/2014/chart" uri="{C3380CC4-5D6E-409C-BE32-E72D297353CC}">
              <c16:uniqueId val="{00000005-7EAF-4CF2-B50D-5A82FDBF4F33}"/>
            </c:ext>
          </c:extLst>
        </c:ser>
        <c:ser>
          <c:idx val="5"/>
          <c:order val="6"/>
          <c:tx>
            <c:strRef>
              <c:f>Sheet1!$A$8</c:f>
              <c:strCache>
                <c:ptCount val="1"/>
                <c:pt idx="0">
                  <c:v>Andere</c:v>
                </c:pt>
              </c:strCache>
            </c:strRef>
          </c:tx>
          <c:spPr>
            <a:solidFill>
              <a:srgbClr val="C0C0C0"/>
            </a:solidFill>
            <a:ln w="13103">
              <a:solidFill>
                <a:schemeClr val="tx1"/>
              </a:solidFill>
              <a:prstDash val="solid"/>
            </a:ln>
          </c:spPr>
          <c:invertIfNegative val="0"/>
          <c:dLbls>
            <c:numFmt formatCode="0.0%" sourceLinked="0"/>
            <c:spPr>
              <a:noFill/>
              <a:ln w="26205">
                <a:noFill/>
              </a:ln>
            </c:spPr>
            <c:txPr>
              <a:bodyPr/>
              <a:lstStyle/>
              <a:p>
                <a:pPr>
                  <a:defRPr sz="825" b="0" i="0" u="none" strike="noStrike" baseline="0">
                    <a:solidFill>
                      <a:schemeClr val="tx1"/>
                    </a:solidFill>
                    <a:latin typeface="Arial"/>
                    <a:ea typeface="Arial"/>
                    <a:cs typeface="Arial"/>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Sheet1!$B$8:$I$8</c:f>
              <c:numCache>
                <c:formatCode>0.00%</c:formatCode>
                <c:ptCount val="8"/>
                <c:pt idx="0">
                  <c:v>2.9766549999999999E-2</c:v>
                </c:pt>
                <c:pt idx="1">
                  <c:v>3.0401009999999999E-2</c:v>
                </c:pt>
                <c:pt idx="2">
                  <c:v>3.026059E-2</c:v>
                </c:pt>
                <c:pt idx="3">
                  <c:v>3.5910640000000001E-2</c:v>
                </c:pt>
                <c:pt idx="4">
                  <c:v>3.3305990000000001E-2</c:v>
                </c:pt>
                <c:pt idx="5">
                  <c:v>3.53329E-2</c:v>
                </c:pt>
                <c:pt idx="6">
                  <c:v>3.9347029999999998E-2</c:v>
                </c:pt>
                <c:pt idx="7">
                  <c:v>4.1052459999999999E-2</c:v>
                </c:pt>
              </c:numCache>
            </c:numRef>
          </c:val>
          <c:extLst>
            <c:ext xmlns:c16="http://schemas.microsoft.com/office/drawing/2014/chart" uri="{C3380CC4-5D6E-409C-BE32-E72D297353CC}">
              <c16:uniqueId val="{00000006-7EAF-4CF2-B50D-5A82FDBF4F33}"/>
            </c:ext>
          </c:extLst>
        </c:ser>
        <c:dLbls>
          <c:showLegendKey val="0"/>
          <c:showVal val="1"/>
          <c:showCatName val="0"/>
          <c:showSerName val="0"/>
          <c:showPercent val="0"/>
          <c:showBubbleSize val="0"/>
        </c:dLbls>
        <c:gapWidth val="30"/>
        <c:overlap val="100"/>
        <c:axId val="93862912"/>
        <c:axId val="93872896"/>
      </c:barChart>
      <c:catAx>
        <c:axId val="93862912"/>
        <c:scaling>
          <c:orientation val="minMax"/>
        </c:scaling>
        <c:delete val="0"/>
        <c:axPos val="b"/>
        <c:numFmt formatCode="General" sourceLinked="1"/>
        <c:majorTickMark val="out"/>
        <c:minorTickMark val="none"/>
        <c:tickLblPos val="nextTo"/>
        <c:spPr>
          <a:ln w="3276">
            <a:solidFill>
              <a:schemeClr val="tx1"/>
            </a:solidFill>
            <a:prstDash val="solid"/>
          </a:ln>
        </c:spPr>
        <c:txPr>
          <a:bodyPr rot="-5400000" vert="horz"/>
          <a:lstStyle/>
          <a:p>
            <a:pPr>
              <a:defRPr sz="900" b="0" i="0" u="none" strike="noStrike" baseline="0">
                <a:solidFill>
                  <a:schemeClr val="tx1"/>
                </a:solidFill>
                <a:latin typeface="Arial"/>
                <a:ea typeface="Arial"/>
                <a:cs typeface="Arial"/>
              </a:defRPr>
            </a:pPr>
            <a:endParaRPr lang="nl-BE"/>
          </a:p>
        </c:txPr>
        <c:crossAx val="93872896"/>
        <c:crosses val="autoZero"/>
        <c:auto val="1"/>
        <c:lblAlgn val="ctr"/>
        <c:lblOffset val="100"/>
        <c:tickLblSkip val="1"/>
        <c:tickMarkSkip val="1"/>
        <c:noMultiLvlLbl val="0"/>
      </c:catAx>
      <c:valAx>
        <c:axId val="93872896"/>
        <c:scaling>
          <c:orientation val="minMax"/>
        </c:scaling>
        <c:delete val="0"/>
        <c:axPos val="l"/>
        <c:majorGridlines>
          <c:spPr>
            <a:ln w="3276">
              <a:solidFill>
                <a:schemeClr val="tx1"/>
              </a:solidFill>
              <a:prstDash val="solid"/>
            </a:ln>
          </c:spPr>
        </c:majorGridlines>
        <c:numFmt formatCode="0%" sourceLinked="1"/>
        <c:majorTickMark val="out"/>
        <c:minorTickMark val="none"/>
        <c:tickLblPos val="nextTo"/>
        <c:spPr>
          <a:ln w="3276">
            <a:solidFill>
              <a:schemeClr val="tx1"/>
            </a:solidFill>
            <a:prstDash val="solid"/>
          </a:ln>
        </c:spPr>
        <c:txPr>
          <a:bodyPr rot="0" vert="horz"/>
          <a:lstStyle/>
          <a:p>
            <a:pPr>
              <a:defRPr sz="954" b="0" i="0" u="none" strike="noStrike" baseline="0">
                <a:solidFill>
                  <a:schemeClr val="tx1"/>
                </a:solidFill>
                <a:latin typeface="Arial"/>
                <a:ea typeface="Arial"/>
                <a:cs typeface="Arial"/>
              </a:defRPr>
            </a:pPr>
            <a:endParaRPr lang="nl-BE"/>
          </a:p>
        </c:txPr>
        <c:crossAx val="93862912"/>
        <c:crosses val="autoZero"/>
        <c:crossBetween val="between"/>
      </c:valAx>
      <c:spPr>
        <a:noFill/>
        <a:ln w="13103">
          <a:solidFill>
            <a:schemeClr val="tx1"/>
          </a:solidFill>
          <a:prstDash val="solid"/>
        </a:ln>
      </c:spPr>
    </c:plotArea>
    <c:legend>
      <c:legendPos val="r"/>
      <c:layout>
        <c:manualLayout>
          <c:xMode val="edge"/>
          <c:yMode val="edge"/>
          <c:x val="0.80959502783312998"/>
          <c:y val="0.17699391763448158"/>
          <c:w val="0.16248606346323127"/>
          <c:h val="0.61106428626158915"/>
        </c:manualLayout>
      </c:layout>
      <c:overlay val="0"/>
      <c:spPr>
        <a:noFill/>
        <a:ln w="26205">
          <a:noFill/>
        </a:ln>
      </c:spPr>
      <c:txPr>
        <a:bodyPr/>
        <a:lstStyle/>
        <a:p>
          <a:pPr>
            <a:defRPr sz="800" b="0" i="0" u="none" strike="noStrike" baseline="0">
              <a:solidFill>
                <a:schemeClr val="tx1"/>
              </a:solidFill>
              <a:latin typeface="Arial"/>
              <a:ea typeface="Arial"/>
              <a:cs typeface="Arial"/>
            </a:defRPr>
          </a:pPr>
          <a:endParaRPr lang="nl-BE"/>
        </a:p>
      </c:txPr>
    </c:legend>
    <c:plotVisOnly val="1"/>
    <c:dispBlanksAs val="gap"/>
    <c:showDLblsOverMax val="0"/>
  </c:chart>
  <c:spPr>
    <a:noFill/>
    <a:ln>
      <a:noFill/>
    </a:ln>
  </c:spPr>
  <c:txPr>
    <a:bodyPr/>
    <a:lstStyle/>
    <a:p>
      <a:pPr>
        <a:defRPr sz="1393" b="0" i="0" u="none" strike="noStrike" baseline="0">
          <a:solidFill>
            <a:schemeClr val="tx1"/>
          </a:solidFill>
          <a:latin typeface="Arial"/>
          <a:ea typeface="Arial"/>
          <a:cs typeface="Arial"/>
        </a:defRPr>
      </a:pPr>
      <a:endParaRPr lang="nl-B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0.1388</cdr:x>
      <cdr:y>0.05323</cdr:y>
    </cdr:from>
    <cdr:to>
      <cdr:x>0.37916</cdr:x>
      <cdr:y>0.08713</cdr:y>
    </cdr:to>
    <cdr:sp macro="" textlink="">
      <cdr:nvSpPr>
        <cdr:cNvPr id="1025" name="Text Box 1"/>
        <cdr:cNvSpPr txBox="1">
          <a:spLocks xmlns:a="http://schemas.openxmlformats.org/drawingml/2006/main" noChangeArrowheads="1"/>
        </cdr:cNvSpPr>
      </cdr:nvSpPr>
      <cdr:spPr bwMode="auto">
        <a:xfrm xmlns:a="http://schemas.openxmlformats.org/drawingml/2006/main">
          <a:off x="880483" y="189087"/>
          <a:ext cx="1524760" cy="120420"/>
        </a:xfrm>
        <a:prstGeom xmlns:a="http://schemas.openxmlformats.org/drawingml/2006/main" prst="rect">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nl-BE" sz="1100" b="1" dirty="0" err="1">
              <a:solidFill>
                <a:srgbClr val="000000"/>
              </a:solidFill>
              <a:latin typeface="Arial"/>
              <a:cs typeface="Arial"/>
            </a:rPr>
            <a:t>Volumenanteil</a:t>
          </a:r>
          <a:r>
            <a:rPr lang="nl-BE" sz="1200" b="1" dirty="0">
              <a:solidFill>
                <a:srgbClr val="000000"/>
              </a:solidFill>
              <a:latin typeface="Arial"/>
              <a:cs typeface="Arial"/>
            </a:rPr>
            <a:t> (</a:t>
          </a:r>
          <a:r>
            <a:rPr lang="nl-BE" sz="1200" b="1" i="0" u="none" strike="noStrike" baseline="0" dirty="0">
              <a:solidFill>
                <a:srgbClr val="000000"/>
              </a:solidFill>
              <a:latin typeface="Arial"/>
              <a:cs typeface="Arial"/>
            </a:rPr>
            <a:t>%)</a:t>
          </a:r>
        </a:p>
      </cdr:txBody>
    </cdr:sp>
  </cdr:relSizeAnchor>
  <cdr:relSizeAnchor xmlns:cdr="http://schemas.openxmlformats.org/drawingml/2006/chartDrawing">
    <cdr:from>
      <cdr:x>0.49742</cdr:x>
      <cdr:y>0.04787</cdr:y>
    </cdr:from>
    <cdr:to>
      <cdr:x>0.74636</cdr:x>
      <cdr:y>0.08027</cdr:y>
    </cdr:to>
    <cdr:sp macro="" textlink="">
      <cdr:nvSpPr>
        <cdr:cNvPr id="1026" name="Text Box 2"/>
        <cdr:cNvSpPr txBox="1">
          <a:spLocks xmlns:a="http://schemas.openxmlformats.org/drawingml/2006/main" noChangeArrowheads="1"/>
        </cdr:cNvSpPr>
      </cdr:nvSpPr>
      <cdr:spPr bwMode="auto">
        <a:xfrm xmlns:a="http://schemas.openxmlformats.org/drawingml/2006/main">
          <a:off x="3155439" y="170037"/>
          <a:ext cx="1579189" cy="115091"/>
        </a:xfrm>
        <a:prstGeom xmlns:a="http://schemas.openxmlformats.org/drawingml/2006/main" prst="rect">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nl-BE" sz="1100" b="1" dirty="0" err="1">
              <a:solidFill>
                <a:srgbClr val="000000"/>
              </a:solidFill>
              <a:latin typeface="Arial"/>
              <a:cs typeface="Arial"/>
            </a:rPr>
            <a:t>Ausgabenanteil</a:t>
          </a:r>
          <a:r>
            <a:rPr lang="nl-BE" sz="1200" b="1" dirty="0">
              <a:solidFill>
                <a:srgbClr val="000000"/>
              </a:solidFill>
              <a:latin typeface="Arial"/>
              <a:cs typeface="Arial"/>
            </a:rPr>
            <a:t> (</a:t>
          </a:r>
          <a:r>
            <a:rPr lang="nl-BE" sz="1200" b="1" i="0" u="none" strike="noStrike" baseline="0" dirty="0">
              <a:solidFill>
                <a:srgbClr val="000000"/>
              </a:solidFill>
              <a:latin typeface="Arial"/>
              <a:cs typeface="Arial"/>
            </a:rPr>
            <a:t>%)</a:t>
          </a:r>
        </a:p>
      </cdr:txBody>
    </cdr:sp>
  </cdr:relSizeAnchor>
  <cdr:relSizeAnchor xmlns:cdr="http://schemas.openxmlformats.org/drawingml/2006/chartDrawing">
    <cdr:from>
      <cdr:x>0.00214</cdr:x>
      <cdr:y>0.91441</cdr:y>
    </cdr:from>
    <cdr:to>
      <cdr:x>0.16524</cdr:x>
      <cdr:y>0.97336</cdr:y>
    </cdr:to>
    <cdr:sp macro="" textlink="">
      <cdr:nvSpPr>
        <cdr:cNvPr id="2" name="Tekstvak 1"/>
        <cdr:cNvSpPr txBox="1"/>
      </cdr:nvSpPr>
      <cdr:spPr>
        <a:xfrm xmlns:a="http://schemas.openxmlformats.org/drawingml/2006/main">
          <a:off x="13575" y="3248167"/>
          <a:ext cx="1034650" cy="2094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1000" dirty="0" err="1"/>
            <a:t>Quelle</a:t>
          </a:r>
          <a:r>
            <a:rPr lang="nl-BE" sz="1000" dirty="0"/>
            <a:t>: </a:t>
          </a:r>
          <a:r>
            <a:rPr lang="nl-BE" sz="1000" dirty="0" err="1"/>
            <a:t>GfK</a:t>
          </a:r>
          <a:r>
            <a:rPr lang="nl-BE" sz="1000" dirty="0"/>
            <a:t> Belgium </a:t>
          </a:r>
        </a:p>
      </cdr:txBody>
    </cdr:sp>
  </cdr:relSizeAnchor>
</c:userShapes>
</file>

<file path=word/drawings/drawing2.xml><?xml version="1.0" encoding="utf-8"?>
<c:userShapes xmlns:c="http://schemas.openxmlformats.org/drawingml/2006/chart">
  <cdr:relSizeAnchor xmlns:cdr="http://schemas.openxmlformats.org/drawingml/2006/chartDrawing">
    <cdr:from>
      <cdr:x>0.03136</cdr:x>
      <cdr:y>0.91515</cdr:y>
    </cdr:from>
    <cdr:to>
      <cdr:x>0.11904</cdr:x>
      <cdr:y>0.97584</cdr:y>
    </cdr:to>
    <cdr:sp macro="" textlink="">
      <cdr:nvSpPr>
        <cdr:cNvPr id="2" name="Tekstvak 1"/>
        <cdr:cNvSpPr txBox="1"/>
      </cdr:nvSpPr>
      <cdr:spPr>
        <a:xfrm xmlns:a="http://schemas.openxmlformats.org/drawingml/2006/main">
          <a:off x="180634" y="2885830"/>
          <a:ext cx="505100" cy="1913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1000" dirty="0" err="1"/>
            <a:t>Quelle</a:t>
          </a:r>
          <a:r>
            <a:rPr lang="nl-BE" sz="1000" dirty="0"/>
            <a:t>: </a:t>
          </a:r>
          <a:r>
            <a:rPr lang="nl-BE" sz="1000" dirty="0" err="1"/>
            <a:t>GfK</a:t>
          </a:r>
          <a:r>
            <a:rPr lang="nl-BE" sz="1000" dirty="0"/>
            <a:t> Belgium</a:t>
          </a:r>
        </a:p>
      </cdr:txBody>
    </cdr:sp>
  </cdr:relSizeAnchor>
  <cdr:relSizeAnchor xmlns:cdr="http://schemas.openxmlformats.org/drawingml/2006/chartDrawing">
    <cdr:from>
      <cdr:x>0.03296</cdr:x>
      <cdr:y>0.8697</cdr:y>
    </cdr:from>
    <cdr:to>
      <cdr:x>0.73731</cdr:x>
      <cdr:y>0.92215</cdr:y>
    </cdr:to>
    <cdr:sp macro="" textlink="">
      <cdr:nvSpPr>
        <cdr:cNvPr id="3" name="Tekstvak 2"/>
        <cdr:cNvSpPr txBox="1"/>
      </cdr:nvSpPr>
      <cdr:spPr>
        <a:xfrm xmlns:a="http://schemas.openxmlformats.org/drawingml/2006/main">
          <a:off x="189873" y="2548137"/>
          <a:ext cx="4057563" cy="1536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900" dirty="0"/>
            <a:t>Dis 1: AH, Alma, Carrefour hyper/GB/market, </a:t>
          </a:r>
          <a:r>
            <a:rPr lang="nl-BE" sz="900" dirty="0" err="1"/>
            <a:t>Champion</a:t>
          </a:r>
          <a:r>
            <a:rPr lang="nl-BE" sz="900" dirty="0"/>
            <a:t>, Colruyt, Cora, Delhaize De Leeuw, Metro </a:t>
          </a:r>
          <a:r>
            <a:rPr lang="nl-BE" sz="900" dirty="0" err="1"/>
            <a:t>und</a:t>
          </a:r>
          <a:r>
            <a:rPr lang="nl-BE" sz="900" dirty="0"/>
            <a:t> Red Market</a:t>
          </a:r>
        </a:p>
        <a:p xmlns:a="http://schemas.openxmlformats.org/drawingml/2006/main">
          <a:endParaRPr lang="nl-BE" sz="1100" dirty="0"/>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Guffens</dc:creator>
  <cp:keywords/>
  <dc:description/>
  <cp:lastModifiedBy>Leen Guffens</cp:lastModifiedBy>
  <cp:revision>2</cp:revision>
  <dcterms:created xsi:type="dcterms:W3CDTF">2016-04-14T13:53:00Z</dcterms:created>
  <dcterms:modified xsi:type="dcterms:W3CDTF">2016-04-14T13:53:00Z</dcterms:modified>
</cp:coreProperties>
</file>